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AB5" w:rsidRDefault="005A4AB5" w:rsidP="005A4AB5">
      <w:pPr>
        <w:pStyle w:val="Brezrazmikov"/>
        <w:jc w:val="both"/>
        <w:rPr>
          <w:b/>
        </w:rPr>
      </w:pPr>
    </w:p>
    <w:p w:rsidR="005A4AB5" w:rsidRPr="00C57B16" w:rsidRDefault="005A4AB5" w:rsidP="005A4AB5">
      <w:pPr>
        <w:pStyle w:val="Brezrazmikov"/>
        <w:jc w:val="both"/>
        <w:rPr>
          <w:b/>
        </w:rPr>
      </w:pPr>
      <w:r w:rsidRPr="00C57B16">
        <w:rPr>
          <w:b/>
        </w:rPr>
        <w:t>Odziv Agencije na Zakon o</w:t>
      </w:r>
      <w:r w:rsidR="0000523E">
        <w:rPr>
          <w:b/>
        </w:rPr>
        <w:t xml:space="preserve"> </w:t>
      </w:r>
      <w:r w:rsidR="00927DBA">
        <w:rPr>
          <w:b/>
        </w:rPr>
        <w:t>S</w:t>
      </w:r>
      <w:r w:rsidR="00570865">
        <w:rPr>
          <w:b/>
        </w:rPr>
        <w:t xml:space="preserve">lovenskem </w:t>
      </w:r>
      <w:r w:rsidR="00927DBA">
        <w:rPr>
          <w:b/>
        </w:rPr>
        <w:t xml:space="preserve">državnem </w:t>
      </w:r>
      <w:r w:rsidR="0000523E">
        <w:rPr>
          <w:b/>
        </w:rPr>
        <w:t>h</w:t>
      </w:r>
      <w:r w:rsidRPr="00C57B16">
        <w:rPr>
          <w:b/>
        </w:rPr>
        <w:t>oldingu</w:t>
      </w:r>
    </w:p>
    <w:p w:rsidR="005A4AB5" w:rsidRDefault="005A4AB5" w:rsidP="005A4AB5">
      <w:pPr>
        <w:pStyle w:val="Brezrazmikov"/>
        <w:jc w:val="both"/>
      </w:pPr>
    </w:p>
    <w:p w:rsidR="005A4AB5" w:rsidRPr="00556B12" w:rsidRDefault="005A4AB5" w:rsidP="005A4AB5">
      <w:pPr>
        <w:pStyle w:val="Brezrazmikov"/>
        <w:jc w:val="both"/>
      </w:pPr>
    </w:p>
    <w:p w:rsidR="005A4AB5" w:rsidRPr="00556B12" w:rsidRDefault="005A4AB5" w:rsidP="005A4AB5">
      <w:pPr>
        <w:pStyle w:val="Brezrazmikov"/>
        <w:jc w:val="both"/>
      </w:pPr>
      <w:r w:rsidRPr="00556B12">
        <w:t xml:space="preserve">Agencija opozarja, da bo z predlaganim Zakonom o Slovenskem državnem Holdingu </w:t>
      </w:r>
      <w:proofErr w:type="spellStart"/>
      <w:r w:rsidRPr="00556B12">
        <w:t>iriverzibilno</w:t>
      </w:r>
      <w:proofErr w:type="spellEnd"/>
      <w:r w:rsidRPr="00556B12">
        <w:t xml:space="preserve"> </w:t>
      </w:r>
      <w:proofErr w:type="spellStart"/>
      <w:r w:rsidRPr="00556B12">
        <w:t>prenešeno</w:t>
      </w:r>
      <w:proofErr w:type="spellEnd"/>
      <w:r w:rsidRPr="00556B12">
        <w:t xml:space="preserve"> še zadnje državno premoženje izpod nadzora parlamenta in javnosti, pod nadzor ozkega kroga ljudi</w:t>
      </w:r>
      <w:r>
        <w:t>,</w:t>
      </w:r>
      <w:r w:rsidRPr="00556B12">
        <w:t xml:space="preserve"> ki bodo holding vodili. To bo največji prenos premoženja v zgodovini države iz lastništva Republike Slovenije v last holdinga SDH.</w:t>
      </w:r>
    </w:p>
    <w:p w:rsidR="005A4AB5" w:rsidRPr="00556B12" w:rsidRDefault="005A4AB5" w:rsidP="005A4AB5">
      <w:pPr>
        <w:pStyle w:val="Brezrazmikov"/>
        <w:jc w:val="both"/>
      </w:pPr>
    </w:p>
    <w:p w:rsidR="005A4AB5" w:rsidRDefault="005A4AB5" w:rsidP="005A4AB5">
      <w:pPr>
        <w:pStyle w:val="Navadensplet"/>
        <w:jc w:val="both"/>
        <w:rPr>
          <w:rFonts w:asciiTheme="minorHAnsi" w:hAnsiTheme="minorHAnsi" w:cs="Helvetica"/>
          <w:color w:val="000000"/>
          <w:sz w:val="22"/>
          <w:szCs w:val="22"/>
        </w:rPr>
      </w:pPr>
      <w:r w:rsidRPr="00556B12">
        <w:rPr>
          <w:rStyle w:val="Krepko"/>
          <w:rFonts w:asciiTheme="minorHAnsi" w:hAnsiTheme="minorHAnsi" w:cs="Helvetica"/>
          <w:b w:val="0"/>
          <w:color w:val="000000"/>
          <w:sz w:val="22"/>
          <w:szCs w:val="22"/>
        </w:rPr>
        <w:t xml:space="preserve">V lastništvo holdinga bo </w:t>
      </w:r>
      <w:proofErr w:type="spellStart"/>
      <w:r>
        <w:rPr>
          <w:rStyle w:val="Krepko"/>
          <w:rFonts w:asciiTheme="minorHAnsi" w:hAnsiTheme="minorHAnsi" w:cs="Helvetica"/>
          <w:b w:val="0"/>
          <w:color w:val="000000"/>
          <w:sz w:val="22"/>
          <w:szCs w:val="22"/>
        </w:rPr>
        <w:t>preneš</w:t>
      </w:r>
      <w:r w:rsidRPr="00556B12">
        <w:rPr>
          <w:rStyle w:val="Krepko"/>
          <w:rFonts w:asciiTheme="minorHAnsi" w:hAnsiTheme="minorHAnsi" w:cs="Helvetica"/>
          <w:b w:val="0"/>
          <w:color w:val="000000"/>
          <w:sz w:val="22"/>
          <w:szCs w:val="22"/>
        </w:rPr>
        <w:t>en</w:t>
      </w:r>
      <w:r>
        <w:rPr>
          <w:rStyle w:val="Krepko"/>
          <w:rFonts w:asciiTheme="minorHAnsi" w:hAnsiTheme="minorHAnsi" w:cs="Helvetica"/>
          <w:b w:val="0"/>
          <w:color w:val="000000"/>
          <w:sz w:val="22"/>
          <w:szCs w:val="22"/>
        </w:rPr>
        <w:t>a</w:t>
      </w:r>
      <w:proofErr w:type="spellEnd"/>
      <w:r>
        <w:rPr>
          <w:rStyle w:val="Krepko"/>
          <w:rFonts w:asciiTheme="minorHAnsi" w:hAnsiTheme="minorHAnsi" w:cs="Helvetica"/>
          <w:b w:val="0"/>
          <w:color w:val="000000"/>
          <w:sz w:val="22"/>
          <w:szCs w:val="22"/>
        </w:rPr>
        <w:t xml:space="preserve"> tako </w:t>
      </w:r>
      <w:r w:rsidRPr="00556B12">
        <w:rPr>
          <w:rFonts w:asciiTheme="minorHAnsi" w:hAnsiTheme="minorHAnsi" w:cs="Helvetica"/>
          <w:color w:val="000000"/>
          <w:sz w:val="22"/>
          <w:szCs w:val="22"/>
        </w:rPr>
        <w:t>celotn</w:t>
      </w:r>
      <w:r>
        <w:rPr>
          <w:rFonts w:asciiTheme="minorHAnsi" w:hAnsiTheme="minorHAnsi" w:cs="Helvetica"/>
          <w:color w:val="000000"/>
          <w:sz w:val="22"/>
          <w:szCs w:val="22"/>
        </w:rPr>
        <w:t>a proizvodnja in distribucija energetike</w:t>
      </w:r>
      <w:r w:rsidRPr="00556B12">
        <w:rPr>
          <w:rFonts w:asciiTheme="minorHAnsi" w:hAnsiTheme="minorHAnsi" w:cs="Helvetica"/>
          <w:color w:val="000000"/>
          <w:sz w:val="22"/>
          <w:szCs w:val="22"/>
        </w:rPr>
        <w:t xml:space="preserve">, treh ključnih bank, največje zavarovalnice, </w:t>
      </w:r>
      <w:r>
        <w:rPr>
          <w:rFonts w:asciiTheme="minorHAnsi" w:hAnsiTheme="minorHAnsi" w:cs="Helvetica"/>
          <w:color w:val="000000"/>
          <w:sz w:val="22"/>
          <w:szCs w:val="22"/>
        </w:rPr>
        <w:t>pozavarovalnica</w:t>
      </w:r>
      <w:r w:rsidRPr="00556B12">
        <w:rPr>
          <w:rFonts w:asciiTheme="minorHAnsi" w:hAnsiTheme="minorHAnsi" w:cs="Helvetica"/>
          <w:color w:val="000000"/>
          <w:sz w:val="22"/>
          <w:szCs w:val="22"/>
        </w:rPr>
        <w:t>, telekomunikacij</w:t>
      </w:r>
      <w:r>
        <w:rPr>
          <w:rFonts w:asciiTheme="minorHAnsi" w:hAnsiTheme="minorHAnsi" w:cs="Helvetica"/>
          <w:color w:val="000000"/>
          <w:sz w:val="22"/>
          <w:szCs w:val="22"/>
        </w:rPr>
        <w:t>e, luška, letališka, železniška, cestna in plinska </w:t>
      </w:r>
      <w:proofErr w:type="spellStart"/>
      <w:r>
        <w:rPr>
          <w:rFonts w:asciiTheme="minorHAnsi" w:hAnsiTheme="minorHAnsi" w:cs="Helvetica"/>
          <w:color w:val="000000"/>
          <w:sz w:val="22"/>
          <w:szCs w:val="22"/>
        </w:rPr>
        <w:t>infastruktura</w:t>
      </w:r>
      <w:proofErr w:type="spellEnd"/>
      <w:r>
        <w:rPr>
          <w:rFonts w:asciiTheme="minorHAnsi" w:hAnsiTheme="minorHAnsi" w:cs="Helvetica"/>
          <w:color w:val="000000"/>
          <w:sz w:val="22"/>
          <w:szCs w:val="22"/>
        </w:rPr>
        <w:t>,</w:t>
      </w:r>
      <w:r w:rsidRPr="00556B12">
        <w:rPr>
          <w:rFonts w:asciiTheme="minorHAnsi" w:hAnsiTheme="minorHAnsi" w:cs="Helvetica"/>
          <w:color w:val="000000"/>
          <w:sz w:val="22"/>
          <w:szCs w:val="22"/>
        </w:rPr>
        <w:t xml:space="preserve"> </w:t>
      </w:r>
      <w:r>
        <w:rPr>
          <w:rFonts w:asciiTheme="minorHAnsi" w:hAnsiTheme="minorHAnsi" w:cs="Helvetica"/>
          <w:color w:val="000000"/>
          <w:sz w:val="22"/>
          <w:szCs w:val="22"/>
        </w:rPr>
        <w:t>kot tudi Pošta,</w:t>
      </w:r>
      <w:r w:rsidRPr="00556B12">
        <w:rPr>
          <w:rFonts w:asciiTheme="minorHAnsi" w:hAnsiTheme="minorHAnsi" w:cs="Helvetica"/>
          <w:color w:val="000000"/>
          <w:sz w:val="22"/>
          <w:szCs w:val="22"/>
        </w:rPr>
        <w:t xml:space="preserve"> DSU</w:t>
      </w:r>
      <w:r>
        <w:rPr>
          <w:rFonts w:asciiTheme="minorHAnsi" w:hAnsiTheme="minorHAnsi" w:cs="Helvetica"/>
          <w:color w:val="000000"/>
          <w:sz w:val="22"/>
          <w:szCs w:val="22"/>
        </w:rPr>
        <w:t>, SOD in KAD</w:t>
      </w:r>
      <w:r w:rsidRPr="00556B12">
        <w:rPr>
          <w:rFonts w:asciiTheme="minorHAnsi" w:hAnsiTheme="minorHAnsi" w:cs="Helvetica"/>
          <w:color w:val="000000"/>
          <w:sz w:val="22"/>
          <w:szCs w:val="22"/>
        </w:rPr>
        <w:t xml:space="preserve">. Gre za </w:t>
      </w:r>
      <w:r>
        <w:rPr>
          <w:rStyle w:val="Krepko"/>
          <w:rFonts w:asciiTheme="minorHAnsi" w:hAnsiTheme="minorHAnsi" w:cs="Helvetica"/>
          <w:b w:val="0"/>
          <w:color w:val="000000"/>
          <w:sz w:val="22"/>
          <w:szCs w:val="22"/>
        </w:rPr>
        <w:t xml:space="preserve">okoli 11 </w:t>
      </w:r>
      <w:proofErr w:type="spellStart"/>
      <w:r w:rsidRPr="00556B12">
        <w:rPr>
          <w:rStyle w:val="Krepko"/>
          <w:rFonts w:asciiTheme="minorHAnsi" w:hAnsiTheme="minorHAnsi" w:cs="Helvetica"/>
          <w:b w:val="0"/>
          <w:color w:val="000000"/>
          <w:sz w:val="22"/>
          <w:szCs w:val="22"/>
        </w:rPr>
        <w:t>mrd</w:t>
      </w:r>
      <w:proofErr w:type="spellEnd"/>
      <w:r w:rsidRPr="00556B12">
        <w:rPr>
          <w:rStyle w:val="Krepko"/>
          <w:rFonts w:asciiTheme="minorHAnsi" w:hAnsiTheme="minorHAnsi" w:cs="Helvetica"/>
          <w:b w:val="0"/>
          <w:color w:val="000000"/>
          <w:sz w:val="22"/>
          <w:szCs w:val="22"/>
        </w:rPr>
        <w:t xml:space="preserve"> EUR državnega premoženja, </w:t>
      </w:r>
      <w:r w:rsidRPr="00556B12">
        <w:rPr>
          <w:rFonts w:asciiTheme="minorHAnsi" w:hAnsiTheme="minorHAnsi" w:cs="Helvetica"/>
          <w:color w:val="000000"/>
          <w:sz w:val="22"/>
          <w:szCs w:val="22"/>
        </w:rPr>
        <w:t xml:space="preserve">od tega </w:t>
      </w:r>
      <w:r>
        <w:rPr>
          <w:rFonts w:asciiTheme="minorHAnsi" w:hAnsiTheme="minorHAnsi" w:cs="Helvetica"/>
          <w:color w:val="000000"/>
          <w:sz w:val="22"/>
          <w:szCs w:val="22"/>
        </w:rPr>
        <w:t xml:space="preserve">po izjavah ministra </w:t>
      </w:r>
      <w:r w:rsidRPr="00556B12">
        <w:rPr>
          <w:rFonts w:asciiTheme="minorHAnsi" w:hAnsiTheme="minorHAnsi" w:cs="Helvetica"/>
          <w:color w:val="000000"/>
          <w:sz w:val="22"/>
          <w:szCs w:val="22"/>
        </w:rPr>
        <w:t xml:space="preserve">za okoli </w:t>
      </w:r>
      <w:r>
        <w:rPr>
          <w:rFonts w:asciiTheme="minorHAnsi" w:hAnsiTheme="minorHAnsi" w:cs="Helvetica"/>
          <w:color w:val="000000"/>
          <w:sz w:val="22"/>
          <w:szCs w:val="22"/>
        </w:rPr>
        <w:t>1,5 - 3</w:t>
      </w:r>
      <w:r w:rsidRPr="00556B12">
        <w:rPr>
          <w:rStyle w:val="Krepko"/>
          <w:rFonts w:asciiTheme="minorHAnsi" w:hAnsiTheme="minorHAnsi" w:cs="Helvetica"/>
          <w:b w:val="0"/>
          <w:color w:val="000000"/>
          <w:sz w:val="22"/>
          <w:szCs w:val="22"/>
        </w:rPr>
        <w:t xml:space="preserve"> </w:t>
      </w:r>
      <w:proofErr w:type="spellStart"/>
      <w:r w:rsidRPr="00556B12">
        <w:rPr>
          <w:rStyle w:val="Krepko"/>
          <w:rFonts w:asciiTheme="minorHAnsi" w:hAnsiTheme="minorHAnsi" w:cs="Helvetica"/>
          <w:b w:val="0"/>
          <w:color w:val="000000"/>
          <w:sz w:val="22"/>
          <w:szCs w:val="22"/>
        </w:rPr>
        <w:t>mrd</w:t>
      </w:r>
      <w:proofErr w:type="spellEnd"/>
      <w:r w:rsidRPr="00556B12">
        <w:rPr>
          <w:rStyle w:val="Krepko"/>
          <w:rFonts w:asciiTheme="minorHAnsi" w:hAnsiTheme="minorHAnsi" w:cs="Helvetica"/>
          <w:b w:val="0"/>
          <w:color w:val="000000"/>
          <w:sz w:val="22"/>
          <w:szCs w:val="22"/>
        </w:rPr>
        <w:t xml:space="preserve"> </w:t>
      </w:r>
      <w:r>
        <w:rPr>
          <w:rStyle w:val="Krepko"/>
          <w:rFonts w:asciiTheme="minorHAnsi" w:hAnsiTheme="minorHAnsi" w:cs="Helvetica"/>
          <w:b w:val="0"/>
          <w:color w:val="000000"/>
          <w:sz w:val="22"/>
          <w:szCs w:val="22"/>
        </w:rPr>
        <w:t xml:space="preserve">EUR </w:t>
      </w:r>
      <w:r w:rsidRPr="00556B12">
        <w:rPr>
          <w:rStyle w:val="Krepko"/>
          <w:rFonts w:asciiTheme="minorHAnsi" w:hAnsiTheme="minorHAnsi" w:cs="Helvetica"/>
          <w:b w:val="0"/>
          <w:color w:val="000000"/>
          <w:sz w:val="22"/>
          <w:szCs w:val="22"/>
        </w:rPr>
        <w:t xml:space="preserve">slabih naložb </w:t>
      </w:r>
      <w:r w:rsidRPr="00556B12">
        <w:rPr>
          <w:rFonts w:asciiTheme="minorHAnsi" w:hAnsiTheme="minorHAnsi" w:cs="Helvetica"/>
          <w:color w:val="000000"/>
          <w:sz w:val="22"/>
          <w:szCs w:val="22"/>
        </w:rPr>
        <w:t>državnih bank. V tem delu gre za zavarovanja v obliki nepremičnin in kontrolnih deležev družb kot Mer</w:t>
      </w:r>
      <w:r>
        <w:rPr>
          <w:rFonts w:asciiTheme="minorHAnsi" w:hAnsiTheme="minorHAnsi" w:cs="Helvetica"/>
          <w:color w:val="000000"/>
          <w:sz w:val="22"/>
          <w:szCs w:val="22"/>
        </w:rPr>
        <w:t>cator, Helios, Petrol, Pivovarna</w:t>
      </w:r>
      <w:r w:rsidRPr="00556B12">
        <w:rPr>
          <w:rFonts w:asciiTheme="minorHAnsi" w:hAnsiTheme="minorHAnsi" w:cs="Helvetica"/>
          <w:color w:val="000000"/>
          <w:sz w:val="22"/>
          <w:szCs w:val="22"/>
        </w:rPr>
        <w:t xml:space="preserve"> Laško, Zavarovalnica Triglav, Cinkarna Celje</w:t>
      </w:r>
      <w:r>
        <w:rPr>
          <w:rFonts w:asciiTheme="minorHAnsi" w:hAnsiTheme="minorHAnsi" w:cs="Helvetica"/>
          <w:color w:val="000000"/>
          <w:sz w:val="22"/>
          <w:szCs w:val="22"/>
        </w:rPr>
        <w:t xml:space="preserve">, Zvon 1 in 2, SCT </w:t>
      </w:r>
      <w:r w:rsidRPr="00556B12">
        <w:rPr>
          <w:rFonts w:asciiTheme="minorHAnsi" w:hAnsiTheme="minorHAnsi" w:cs="Helvetica"/>
          <w:color w:val="000000"/>
          <w:sz w:val="22"/>
          <w:szCs w:val="22"/>
        </w:rPr>
        <w:t xml:space="preserve"> in druge.</w:t>
      </w:r>
      <w:r>
        <w:rPr>
          <w:rFonts w:asciiTheme="minorHAnsi" w:hAnsiTheme="minorHAnsi" w:cs="Helvetica"/>
          <w:color w:val="000000"/>
          <w:sz w:val="22"/>
          <w:szCs w:val="22"/>
        </w:rPr>
        <w:t xml:space="preserve"> </w:t>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 xml:space="preserve">Ob tem vlada po javnih informacijah še nima nobenih dokončnih podatkov glede skupnega zneska slabih naložb državnih bank in z ustanovitvijo holdinga deluje v ihti in popolnoma na slepo. </w:t>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Menimo, da je ključni interes ustanovitve holdinga vzpostaviti pogoje za prikrito serijsko prodajo  državnega premoženja in skozi sprejetje zakona odstaviti neposlušno  vodstvo AUKN, ki si je drznilo ustaviti politično kadrovanje.</w:t>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Po mnenju Agencije je hitrost uvajanja holdinga kaže tudi na interes pomesti pod preprogo odgovornost za slabe naložbe državnih bank, ki so v glavnem nastale v obdobju 2006-2008. Na odgovornost za  stare grehe je upravičeno opozoril tudi prof. J. P.  Damijan.</w:t>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sidRPr="00E5158A">
        <w:rPr>
          <w:rFonts w:asciiTheme="minorHAnsi" w:hAnsiTheme="minorHAnsi" w:cs="Helvetica"/>
          <w:noProof/>
          <w:color w:val="000000"/>
          <w:sz w:val="22"/>
          <w:szCs w:val="22"/>
        </w:rPr>
        <w:drawing>
          <wp:inline distT="0" distB="0" distL="0" distR="0">
            <wp:extent cx="3789680" cy="2143125"/>
            <wp:effectExtent l="19050" t="0" r="20320" b="0"/>
            <wp:docPr id="3" name="Grafikon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Vir: Banka Slovenije</w:t>
      </w: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p>
    <w:p w:rsidR="005A4AB5"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Minister v svojih izjavah tudi zavaja slovensko javnost, ko pravi</w:t>
      </w:r>
      <w:r w:rsidR="00496C00">
        <w:rPr>
          <w:rFonts w:asciiTheme="minorHAnsi" w:hAnsiTheme="minorHAnsi" w:cs="Helvetica"/>
          <w:color w:val="000000"/>
          <w:sz w:val="22"/>
          <w:szCs w:val="22"/>
        </w:rPr>
        <w:t>,</w:t>
      </w:r>
      <w:r>
        <w:rPr>
          <w:rFonts w:asciiTheme="minorHAnsi" w:hAnsiTheme="minorHAnsi" w:cs="Helvetica"/>
          <w:color w:val="000000"/>
          <w:sz w:val="22"/>
          <w:szCs w:val="22"/>
        </w:rPr>
        <w:t xml:space="preserve"> da slabe naložbe bank ne bodo imele negativnega vpliva na ostalo premoženje v holdingu. Za kaj takega so ti zneski preprosto preveliki. Izjaviti, da 1,5 – 3 </w:t>
      </w:r>
      <w:proofErr w:type="spellStart"/>
      <w:r>
        <w:rPr>
          <w:rFonts w:asciiTheme="minorHAnsi" w:hAnsiTheme="minorHAnsi" w:cs="Helvetica"/>
          <w:color w:val="000000"/>
          <w:sz w:val="22"/>
          <w:szCs w:val="22"/>
        </w:rPr>
        <w:t>mrd</w:t>
      </w:r>
      <w:proofErr w:type="spellEnd"/>
      <w:r>
        <w:rPr>
          <w:rFonts w:asciiTheme="minorHAnsi" w:hAnsiTheme="minorHAnsi" w:cs="Helvetica"/>
          <w:color w:val="000000"/>
          <w:sz w:val="22"/>
          <w:szCs w:val="22"/>
        </w:rPr>
        <w:t xml:space="preserve"> EUR slabih naložb ne bo negativno vplivalo na premoženje pokojninskega sklada, premoženje denacionalizacijskih upravičencev ali na najboljše energetske in infrastrukturne družbe v Sloveniji, je neresnično. </w:t>
      </w:r>
    </w:p>
    <w:p w:rsidR="005A4AB5" w:rsidRDefault="005A4AB5" w:rsidP="005A4AB5">
      <w:pPr>
        <w:pStyle w:val="Navadensplet"/>
        <w:jc w:val="both"/>
        <w:rPr>
          <w:rFonts w:asciiTheme="minorHAnsi" w:hAnsiTheme="minorHAnsi" w:cs="Helvetica"/>
          <w:color w:val="000000"/>
          <w:sz w:val="22"/>
          <w:szCs w:val="22"/>
        </w:rPr>
      </w:pPr>
    </w:p>
    <w:p w:rsidR="005A4AB5" w:rsidRPr="00556B12" w:rsidRDefault="005A4AB5" w:rsidP="005A4AB5">
      <w:pPr>
        <w:pStyle w:val="Navadensplet"/>
        <w:jc w:val="both"/>
        <w:rPr>
          <w:rFonts w:asciiTheme="minorHAnsi" w:hAnsiTheme="minorHAnsi" w:cs="Helvetica"/>
          <w:color w:val="000000"/>
          <w:sz w:val="22"/>
          <w:szCs w:val="22"/>
        </w:rPr>
      </w:pPr>
      <w:r>
        <w:rPr>
          <w:rFonts w:asciiTheme="minorHAnsi" w:hAnsiTheme="minorHAnsi" w:cs="Helvetica"/>
          <w:color w:val="000000"/>
          <w:sz w:val="22"/>
          <w:szCs w:val="22"/>
        </w:rPr>
        <w:t>Prav tako ne drži, da pri vzpostavitvi holdinga ne bo negativnega vpliva na proračun. Z izdajo obveznic bomo takoj in bistveno razvrednotili vse drugo premoženje v novonastalem holdingu. Ob tem bo država tudi v celoti izgubila proračunske prilive od dividend iz naslova državnega premoženja, ki bodo v letošnjem letu znesli okoli 75 mio EUR.</w:t>
      </w:r>
    </w:p>
    <w:p w:rsidR="005A4AB5" w:rsidRPr="00556B12" w:rsidRDefault="005A4AB5" w:rsidP="005A4AB5">
      <w:pPr>
        <w:pStyle w:val="Brezrazmikov"/>
        <w:jc w:val="both"/>
      </w:pPr>
    </w:p>
    <w:p w:rsidR="005A4AB5" w:rsidRDefault="005A4AB5" w:rsidP="005A4AB5">
      <w:pPr>
        <w:pStyle w:val="Brezrazmikov"/>
        <w:jc w:val="both"/>
      </w:pPr>
      <w:r>
        <w:t xml:space="preserve">Izdaja obveznic holdinga, ki jih je včeraj omenil minister, sama po sebi dokazuje, da bodo potrebna znatna prelivanja sredstev in velika črpanja iz dela še zdravega državnega premoženja. </w:t>
      </w:r>
    </w:p>
    <w:p w:rsidR="005A4AB5" w:rsidRDefault="005A4AB5" w:rsidP="005A4AB5">
      <w:pPr>
        <w:pStyle w:val="Brezrazmikov"/>
        <w:jc w:val="both"/>
      </w:pPr>
    </w:p>
    <w:p w:rsidR="005A4AB5" w:rsidRDefault="005A4AB5" w:rsidP="005A4AB5">
      <w:pPr>
        <w:pStyle w:val="Brezrazmikov"/>
        <w:jc w:val="both"/>
      </w:pPr>
      <w:r>
        <w:t>Odplačilo obresti in stroškov obveznic holdinga bo bistveno preseglo zneske, ki jih je trenutno potrebno zagotavljati za pokojninske in denacionalizacijske obveznosti države. Vsak si lahko sam izračuna</w:t>
      </w:r>
      <w:r w:rsidR="0000523E">
        <w:t>,</w:t>
      </w:r>
      <w:r>
        <w:t xml:space="preserve"> koliko denarja bo potrebno zagotoviti za servisiranje 10 ali 20 letnih obveznic holdinga.</w:t>
      </w:r>
    </w:p>
    <w:p w:rsidR="005A4AB5" w:rsidRDefault="005A4AB5" w:rsidP="005A4AB5">
      <w:pPr>
        <w:pStyle w:val="Brezrazmikov"/>
        <w:jc w:val="both"/>
      </w:pPr>
    </w:p>
    <w:p w:rsidR="005A4AB5" w:rsidRPr="00556B12" w:rsidRDefault="005A4AB5" w:rsidP="005A4AB5">
      <w:pPr>
        <w:pStyle w:val="Brezrazmikov"/>
        <w:jc w:val="both"/>
      </w:pPr>
      <w:r>
        <w:t>Ob tem pa zaradi nedokončanih postopkov ugotavljanja skupnega zneska slabih naložb, minister ne predstavi skrajnega zneska, koliko obveznic bo prisiljen izdati novi holding. Zato menimo, da gre pri uvedbi holdinga za vzpostavitev pogojev za dodatno nepregledno več milijardno zadolževanje države.</w:t>
      </w:r>
    </w:p>
    <w:p w:rsidR="007D75CF" w:rsidRPr="005A4AB5" w:rsidRDefault="007D75CF" w:rsidP="005A4AB5"/>
    <w:sectPr w:rsidR="007D75CF" w:rsidRPr="005A4AB5" w:rsidSect="00C82061">
      <w:headerReference w:type="default" r:id="rId8"/>
      <w:headerReference w:type="first" r:id="rId9"/>
      <w:pgSz w:w="11900" w:h="16840" w:code="9"/>
      <w:pgMar w:top="1701" w:right="1701" w:bottom="1134" w:left="1701" w:header="1860" w:footer="794" w:gutter="0"/>
      <w:cols w:space="708"/>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750" w:rsidRDefault="00F10750">
      <w:r>
        <w:separator/>
      </w:r>
    </w:p>
  </w:endnote>
  <w:endnote w:type="continuationSeparator" w:id="0">
    <w:p w:rsidR="00F10750" w:rsidRDefault="00F107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Calibri">
    <w:panose1 w:val="020F0502020204030204"/>
    <w:charset w:val="EE"/>
    <w:family w:val="swiss"/>
    <w:pitch w:val="variable"/>
    <w:sig w:usb0="A00002EF" w:usb1="4000207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Republika">
    <w:altName w:val="Arial Narrow"/>
    <w:charset w:val="EE"/>
    <w:family w:val="auto"/>
    <w:pitch w:val="variable"/>
    <w:sig w:usb0="00000001" w:usb1="4000205B" w:usb2="00000000" w:usb3="00000000" w:csb0="00000093"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750" w:rsidRDefault="00F10750">
      <w:r>
        <w:separator/>
      </w:r>
    </w:p>
  </w:footnote>
  <w:footnote w:type="continuationSeparator" w:id="0">
    <w:p w:rsidR="00F10750" w:rsidRDefault="00F107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B69" w:rsidRPr="00110CBD" w:rsidRDefault="002A2B69" w:rsidP="007D75CF">
    <w:pPr>
      <w:pStyle w:val="Glava"/>
      <w:spacing w:line="240" w:lineRule="exact"/>
      <w:rPr>
        <w:rFonts w:ascii="Republika" w:hAnsi="Republika"/>
        <w:sz w:val="1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2" w:rightFromText="142" w:bottomFromText="6005" w:vertAnchor="page" w:horzAnchor="page" w:tblpX="925" w:tblpY="869"/>
      <w:tblW w:w="0" w:type="auto"/>
      <w:tblLook w:val="04A0"/>
    </w:tblPr>
    <w:tblGrid>
      <w:gridCol w:w="567"/>
    </w:tblGrid>
    <w:tr w:rsidR="002A2B69" w:rsidRPr="008F3500">
      <w:trPr>
        <w:cantSplit/>
        <w:trHeight w:hRule="exact" w:val="847"/>
      </w:trPr>
      <w:tc>
        <w:tcPr>
          <w:tcW w:w="567" w:type="dxa"/>
        </w:tcPr>
        <w:p w:rsidR="002A2B69" w:rsidRPr="008F3500" w:rsidRDefault="00F04C6D" w:rsidP="00D248DE">
          <w:pPr>
            <w:autoSpaceDE w:val="0"/>
            <w:autoSpaceDN w:val="0"/>
            <w:adjustRightInd w:val="0"/>
            <w:spacing w:line="240" w:lineRule="auto"/>
            <w:rPr>
              <w:rFonts w:ascii="Republika" w:hAnsi="Republika"/>
              <w:color w:val="529DBA"/>
              <w:sz w:val="60"/>
              <w:szCs w:val="60"/>
              <w:lang w:val="sl-SI"/>
            </w:rPr>
          </w:pPr>
          <w:r w:rsidRPr="00F04C6D">
            <w:rPr>
              <w:noProof/>
              <w:lang w:val="sl-SI" w:eastAsia="sl-SI"/>
            </w:rPr>
            <w:pict>
              <v:shapetype id="_x0000_t32" coordsize="21600,21600" o:spt="32" o:oned="t" path="m,l21600,21600e" filled="f">
                <v:path arrowok="t" fillok="f" o:connecttype="none"/>
                <o:lock v:ext="edit" shapetype="t"/>
              </v:shapetype>
              <v:shape id="_x0000_s2060" type="#_x0000_t32" style="position:absolute;margin-left:2.35pt;margin-top:283.5pt;width:17pt;height:0;z-index:251657216;mso-position-vertical-relative:page" o:connectortype="straight" o:allowincell="f" strokecolor="#529dba" strokeweight=".5pt">
                <w10:wrap anchory="page"/>
              </v:shape>
            </w:pict>
          </w:r>
        </w:p>
      </w:tc>
    </w:tr>
  </w:tbl>
  <w:p w:rsidR="00A770A6" w:rsidRPr="0005173F" w:rsidRDefault="00CD7E4F" w:rsidP="00CE5238">
    <w:pPr>
      <w:pStyle w:val="Glava"/>
      <w:tabs>
        <w:tab w:val="clear" w:pos="4320"/>
        <w:tab w:val="clear" w:pos="8640"/>
        <w:tab w:val="left" w:pos="5112"/>
      </w:tabs>
      <w:spacing w:before="120" w:line="240" w:lineRule="exact"/>
      <w:rPr>
        <w:rFonts w:ascii="Calibri" w:hAnsi="Calibri" w:cs="Arial"/>
        <w:szCs w:val="20"/>
        <w:lang w:val="sl-SI"/>
      </w:rPr>
    </w:pPr>
    <w:r>
      <w:rPr>
        <w:rFonts w:ascii="Calibri" w:hAnsi="Calibri"/>
        <w:noProof/>
        <w:szCs w:val="20"/>
        <w:lang w:val="sl-SI" w:eastAsia="sl-SI"/>
      </w:rPr>
      <w:drawing>
        <wp:anchor distT="0" distB="0" distL="114300" distR="114300" simplePos="0" relativeHeight="251658240" behindDoc="1" locked="1" layoutInCell="1" allowOverlap="1">
          <wp:simplePos x="0" y="0"/>
          <wp:positionH relativeFrom="page">
            <wp:posOffset>0</wp:posOffset>
          </wp:positionH>
          <wp:positionV relativeFrom="page">
            <wp:posOffset>0</wp:posOffset>
          </wp:positionV>
          <wp:extent cx="4321810" cy="2165985"/>
          <wp:effectExtent l="19050" t="0" r="2540" b="0"/>
          <wp:wrapNone/>
          <wp:docPr id="21" name="Picture 21" descr="za-dot-AGENCIJA ZA UPRAVLJANJE KAPITALSKIH NALOŽ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za-dot-AGENCIJA ZA UPRAVLJANJE KAPITALSKIH NALOŽB"/>
                  <pic:cNvPicPr>
                    <a:picLocks noChangeAspect="1" noChangeArrowheads="1"/>
                  </pic:cNvPicPr>
                </pic:nvPicPr>
                <pic:blipFill>
                  <a:blip r:embed="rId1"/>
                  <a:srcRect/>
                  <a:stretch>
                    <a:fillRect/>
                  </a:stretch>
                </pic:blipFill>
                <pic:spPr bwMode="auto">
                  <a:xfrm>
                    <a:off x="0" y="0"/>
                    <a:ext cx="4321810" cy="2165985"/>
                  </a:xfrm>
                  <a:prstGeom prst="rect">
                    <a:avLst/>
                  </a:prstGeom>
                  <a:noFill/>
                  <a:ln w="9525">
                    <a:noFill/>
                    <a:miter lim="800000"/>
                    <a:headEnd/>
                    <a:tailEnd/>
                  </a:ln>
                </pic:spPr>
              </pic:pic>
            </a:graphicData>
          </a:graphic>
        </wp:anchor>
      </w:drawing>
    </w:r>
    <w:r w:rsidR="0005173F" w:rsidRPr="0005173F">
      <w:rPr>
        <w:rFonts w:ascii="Calibri" w:hAnsi="Calibri" w:cs="Arial"/>
        <w:szCs w:val="20"/>
        <w:lang w:val="sl-SI"/>
      </w:rPr>
      <w:t>Dunajska cesta 160, 1000 Ljubljana</w:t>
    </w:r>
    <w:r w:rsidR="00A770A6" w:rsidRPr="008F3500">
      <w:rPr>
        <w:rFonts w:cs="Arial"/>
        <w:sz w:val="16"/>
        <w:lang w:val="sl-SI"/>
      </w:rPr>
      <w:tab/>
    </w:r>
    <w:r w:rsidR="00A770A6" w:rsidRPr="0005173F">
      <w:rPr>
        <w:rFonts w:ascii="Calibri" w:hAnsi="Calibri" w:cs="Arial"/>
        <w:szCs w:val="20"/>
        <w:lang w:val="sl-SI"/>
      </w:rPr>
      <w:t xml:space="preserve">T: </w:t>
    </w:r>
    <w:r w:rsidR="00B5523C" w:rsidRPr="0005173F">
      <w:rPr>
        <w:rFonts w:ascii="Calibri" w:hAnsi="Calibri" w:cs="Arial"/>
        <w:szCs w:val="20"/>
        <w:lang w:val="sl-SI"/>
      </w:rPr>
      <w:t xml:space="preserve">01 </w:t>
    </w:r>
    <w:r w:rsidR="0005173F" w:rsidRPr="0005173F">
      <w:rPr>
        <w:rFonts w:ascii="Calibri" w:hAnsi="Calibri" w:cs="Arial"/>
        <w:szCs w:val="20"/>
      </w:rPr>
      <w:t>32</w:t>
    </w:r>
    <w:r w:rsidR="0005173F">
      <w:rPr>
        <w:rFonts w:ascii="Calibri" w:hAnsi="Calibri" w:cs="Arial"/>
        <w:szCs w:val="20"/>
      </w:rPr>
      <w:t xml:space="preserve"> </w:t>
    </w:r>
    <w:r w:rsidR="0005173F" w:rsidRPr="0005173F">
      <w:rPr>
        <w:rFonts w:ascii="Calibri" w:hAnsi="Calibri" w:cs="Arial"/>
        <w:szCs w:val="20"/>
      </w:rPr>
      <w:t>00 510</w:t>
    </w:r>
  </w:p>
  <w:p w:rsidR="00A770A6" w:rsidRPr="0005173F" w:rsidRDefault="00A770A6" w:rsidP="00A770A6">
    <w:pPr>
      <w:pStyle w:val="Glava"/>
      <w:tabs>
        <w:tab w:val="clear" w:pos="4320"/>
        <w:tab w:val="clear" w:pos="8640"/>
        <w:tab w:val="left" w:pos="5112"/>
      </w:tabs>
      <w:spacing w:line="240" w:lineRule="exact"/>
      <w:rPr>
        <w:rFonts w:ascii="Calibri" w:hAnsi="Calibri" w:cs="Arial"/>
        <w:szCs w:val="20"/>
        <w:lang w:val="sl-SI"/>
      </w:rPr>
    </w:pPr>
    <w:r w:rsidRPr="0005173F">
      <w:rPr>
        <w:rFonts w:ascii="Calibri" w:hAnsi="Calibri" w:cs="Arial"/>
        <w:szCs w:val="20"/>
        <w:lang w:val="sl-SI"/>
      </w:rPr>
      <w:tab/>
      <w:t xml:space="preserve">F: </w:t>
    </w:r>
    <w:r w:rsidR="00B5523C" w:rsidRPr="0005173F">
      <w:rPr>
        <w:rFonts w:ascii="Calibri" w:hAnsi="Calibri" w:cs="Arial"/>
        <w:szCs w:val="20"/>
        <w:lang w:val="sl-SI"/>
      </w:rPr>
      <w:t xml:space="preserve">01 </w:t>
    </w:r>
    <w:r w:rsidR="0005173F" w:rsidRPr="0005173F">
      <w:rPr>
        <w:rFonts w:ascii="Calibri" w:hAnsi="Calibri" w:cs="Arial"/>
        <w:szCs w:val="20"/>
      </w:rPr>
      <w:t>32</w:t>
    </w:r>
    <w:r w:rsidR="0005173F">
      <w:rPr>
        <w:rFonts w:ascii="Calibri" w:hAnsi="Calibri" w:cs="Arial"/>
        <w:szCs w:val="20"/>
      </w:rPr>
      <w:t xml:space="preserve"> </w:t>
    </w:r>
    <w:r w:rsidR="0005173F" w:rsidRPr="0005173F">
      <w:rPr>
        <w:rFonts w:ascii="Calibri" w:hAnsi="Calibri" w:cs="Arial"/>
        <w:szCs w:val="20"/>
      </w:rPr>
      <w:t>00 539</w:t>
    </w:r>
  </w:p>
  <w:p w:rsidR="00A770A6" w:rsidRPr="0005173F" w:rsidRDefault="00A770A6" w:rsidP="00A770A6">
    <w:pPr>
      <w:pStyle w:val="Glava"/>
      <w:tabs>
        <w:tab w:val="clear" w:pos="4320"/>
        <w:tab w:val="clear" w:pos="8640"/>
        <w:tab w:val="left" w:pos="5112"/>
      </w:tabs>
      <w:spacing w:line="240" w:lineRule="exact"/>
      <w:rPr>
        <w:rFonts w:ascii="Calibri" w:hAnsi="Calibri" w:cs="Arial"/>
        <w:szCs w:val="20"/>
        <w:lang w:val="sl-SI"/>
      </w:rPr>
    </w:pPr>
    <w:r w:rsidRPr="008F3500">
      <w:rPr>
        <w:rFonts w:cs="Arial"/>
        <w:sz w:val="16"/>
        <w:lang w:val="sl-SI"/>
      </w:rPr>
      <w:tab/>
    </w:r>
    <w:r w:rsidR="006E7F38" w:rsidRPr="0005173F">
      <w:rPr>
        <w:rFonts w:ascii="Calibri" w:hAnsi="Calibri" w:cs="Arial"/>
        <w:szCs w:val="20"/>
        <w:lang w:val="sl-SI"/>
      </w:rPr>
      <w:t xml:space="preserve">E: </w:t>
    </w:r>
    <w:r w:rsidR="0005173F" w:rsidRPr="0005173F">
      <w:rPr>
        <w:rFonts w:ascii="Calibri" w:hAnsi="Calibri" w:cs="Arial"/>
        <w:szCs w:val="20"/>
        <w:lang w:val="sl-SI"/>
      </w:rPr>
      <w:t>tajnistvo@auknrs.si</w:t>
    </w:r>
  </w:p>
  <w:p w:rsidR="00A770A6" w:rsidRPr="0005173F" w:rsidRDefault="00A770A6" w:rsidP="00A770A6">
    <w:pPr>
      <w:pStyle w:val="Glava"/>
      <w:tabs>
        <w:tab w:val="clear" w:pos="4320"/>
        <w:tab w:val="clear" w:pos="8640"/>
        <w:tab w:val="left" w:pos="5112"/>
      </w:tabs>
      <w:spacing w:line="240" w:lineRule="exact"/>
      <w:rPr>
        <w:rFonts w:ascii="Calibri" w:hAnsi="Calibri" w:cs="Arial"/>
        <w:szCs w:val="20"/>
        <w:lang w:val="sl-SI"/>
      </w:rPr>
    </w:pPr>
    <w:r w:rsidRPr="0005173F">
      <w:rPr>
        <w:rFonts w:ascii="Calibri" w:hAnsi="Calibri" w:cs="Arial"/>
        <w:szCs w:val="20"/>
        <w:lang w:val="sl-SI"/>
      </w:rPr>
      <w:tab/>
    </w:r>
    <w:proofErr w:type="spellStart"/>
    <w:r w:rsidR="0005173F" w:rsidRPr="0005173F">
      <w:rPr>
        <w:rFonts w:ascii="Calibri" w:hAnsi="Calibri" w:cs="Arial"/>
        <w:szCs w:val="20"/>
        <w:lang w:val="sl-SI"/>
      </w:rPr>
      <w:t>www.auknrs.si</w:t>
    </w:r>
    <w:proofErr w:type="spellEnd"/>
  </w:p>
  <w:p w:rsidR="002A2B69" w:rsidRPr="008F3500" w:rsidRDefault="002A2B69" w:rsidP="007D75CF">
    <w:pPr>
      <w:pStyle w:val="Glava"/>
      <w:tabs>
        <w:tab w:val="clear" w:pos="4320"/>
        <w:tab w:val="clear" w:pos="8640"/>
        <w:tab w:val="left" w:pos="5112"/>
      </w:tabs>
      <w:rPr>
        <w:lang w:val="sl-S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25CD1"/>
    <w:multiLevelType w:val="hybridMultilevel"/>
    <w:tmpl w:val="2D24329E"/>
    <w:lvl w:ilvl="0" w:tplc="000F0409">
      <w:start w:val="1"/>
      <w:numFmt w:val="decimal"/>
      <w:lvlText w:val="%1."/>
      <w:lvlJc w:val="left"/>
      <w:pPr>
        <w:tabs>
          <w:tab w:val="num" w:pos="1080"/>
        </w:tabs>
        <w:ind w:left="1080" w:hanging="36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1">
    <w:nsid w:val="15185C12"/>
    <w:multiLevelType w:val="hybridMultilevel"/>
    <w:tmpl w:val="BF06C40C"/>
    <w:lvl w:ilvl="0" w:tplc="000F0409">
      <w:start w:val="1"/>
      <w:numFmt w:val="decimal"/>
      <w:lvlText w:val="%1."/>
      <w:lvlJc w:val="left"/>
      <w:pPr>
        <w:tabs>
          <w:tab w:val="num" w:pos="360"/>
        </w:tabs>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D072372"/>
    <w:multiLevelType w:val="hybridMultilevel"/>
    <w:tmpl w:val="94FE814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nsid w:val="42D53A9B"/>
    <w:multiLevelType w:val="multilevel"/>
    <w:tmpl w:val="C3B4607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63AA4C44"/>
    <w:multiLevelType w:val="hybridMultilevel"/>
    <w:tmpl w:val="092E92F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proofState w:spelling="clean" w:grammar="clean"/>
  <w:attachedTemplate r:id="rId1"/>
  <w:stylePaneFormatFilter w:val="0001"/>
  <w:defaultTabStop w:val="720"/>
  <w:hyphenationZone w:val="425"/>
  <w:drawingGridHorizontalSpacing w:val="100"/>
  <w:drawingGridVerticalSpacing w:val="284"/>
  <w:displayHorizontalDrawingGridEvery w:val="2"/>
  <w:displayVerticalDrawingGridEvery w:val="2"/>
  <w:noPunctuationKerning/>
  <w:characterSpacingControl w:val="doNotCompress"/>
  <w:hdrShapeDefaults>
    <o:shapedefaults v:ext="edit" spidmax="7170">
      <o:colormru v:ext="edit" colors="#428299,#529dba"/>
      <o:colormenu v:ext="edit" strokecolor="#529dba"/>
    </o:shapedefaults>
    <o:shapelayout v:ext="edit">
      <o:idmap v:ext="edit" data="2"/>
      <o:rules v:ext="edit">
        <o:r id="V:Rule2" type="connector" idref="#_x0000_s2060"/>
      </o:rules>
    </o:shapelayout>
  </w:hdrShapeDefaults>
  <w:footnotePr>
    <w:footnote w:id="-1"/>
    <w:footnote w:id="0"/>
  </w:footnotePr>
  <w:endnotePr>
    <w:endnote w:id="-1"/>
    <w:endnote w:id="0"/>
  </w:endnotePr>
  <w:compat/>
  <w:rsids>
    <w:rsidRoot w:val="0000523E"/>
    <w:rsid w:val="0000523E"/>
    <w:rsid w:val="00023A88"/>
    <w:rsid w:val="0005173F"/>
    <w:rsid w:val="00080680"/>
    <w:rsid w:val="000A7238"/>
    <w:rsid w:val="001357B2"/>
    <w:rsid w:val="0017478F"/>
    <w:rsid w:val="00202A77"/>
    <w:rsid w:val="00271CE5"/>
    <w:rsid w:val="00282020"/>
    <w:rsid w:val="002A2B69"/>
    <w:rsid w:val="003636BF"/>
    <w:rsid w:val="00371442"/>
    <w:rsid w:val="003845B4"/>
    <w:rsid w:val="00387B1A"/>
    <w:rsid w:val="003C5EE5"/>
    <w:rsid w:val="003E1C74"/>
    <w:rsid w:val="004657EE"/>
    <w:rsid w:val="00496C00"/>
    <w:rsid w:val="00526246"/>
    <w:rsid w:val="00531539"/>
    <w:rsid w:val="005451E3"/>
    <w:rsid w:val="00567106"/>
    <w:rsid w:val="00570865"/>
    <w:rsid w:val="005A4AB5"/>
    <w:rsid w:val="005E1D3C"/>
    <w:rsid w:val="00625AE6"/>
    <w:rsid w:val="00632253"/>
    <w:rsid w:val="00642714"/>
    <w:rsid w:val="006455CE"/>
    <w:rsid w:val="00655841"/>
    <w:rsid w:val="00697519"/>
    <w:rsid w:val="006E7F38"/>
    <w:rsid w:val="006F59D1"/>
    <w:rsid w:val="00733017"/>
    <w:rsid w:val="00750BA4"/>
    <w:rsid w:val="00783310"/>
    <w:rsid w:val="007A4A6D"/>
    <w:rsid w:val="007D1BCF"/>
    <w:rsid w:val="007D75CF"/>
    <w:rsid w:val="007E0440"/>
    <w:rsid w:val="007E6DC5"/>
    <w:rsid w:val="00805786"/>
    <w:rsid w:val="00860694"/>
    <w:rsid w:val="0088043C"/>
    <w:rsid w:val="00884889"/>
    <w:rsid w:val="008906C9"/>
    <w:rsid w:val="008C5738"/>
    <w:rsid w:val="008D04F0"/>
    <w:rsid w:val="008F3500"/>
    <w:rsid w:val="00924E3C"/>
    <w:rsid w:val="009274C1"/>
    <w:rsid w:val="00927DBA"/>
    <w:rsid w:val="009612BB"/>
    <w:rsid w:val="009C4F01"/>
    <w:rsid w:val="009C740A"/>
    <w:rsid w:val="00A125C5"/>
    <w:rsid w:val="00A2451C"/>
    <w:rsid w:val="00A65EE7"/>
    <w:rsid w:val="00A70133"/>
    <w:rsid w:val="00A770A6"/>
    <w:rsid w:val="00A813B1"/>
    <w:rsid w:val="00AB36C4"/>
    <w:rsid w:val="00AC32B2"/>
    <w:rsid w:val="00AD1D5B"/>
    <w:rsid w:val="00B17141"/>
    <w:rsid w:val="00B31575"/>
    <w:rsid w:val="00B5523C"/>
    <w:rsid w:val="00B8547D"/>
    <w:rsid w:val="00C250D5"/>
    <w:rsid w:val="00C35666"/>
    <w:rsid w:val="00C82061"/>
    <w:rsid w:val="00C92898"/>
    <w:rsid w:val="00CA4340"/>
    <w:rsid w:val="00CD7E4F"/>
    <w:rsid w:val="00CE5238"/>
    <w:rsid w:val="00CE7514"/>
    <w:rsid w:val="00D248DE"/>
    <w:rsid w:val="00D8542D"/>
    <w:rsid w:val="00DC6A71"/>
    <w:rsid w:val="00E0357D"/>
    <w:rsid w:val="00ED1C3E"/>
    <w:rsid w:val="00F04C6D"/>
    <w:rsid w:val="00F10750"/>
    <w:rsid w:val="00F240BB"/>
    <w:rsid w:val="00F57FED"/>
    <w:rsid w:val="00FF68BC"/>
    <w:rsid w:val="00FF782C"/>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colormru v:ext="edit" colors="#428299,#529dba"/>
      <o:colormenu v:ext="edit" strokecolor="#529dba"/>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DC6A71"/>
    <w:pPr>
      <w:spacing w:line="260" w:lineRule="atLeast"/>
    </w:pPr>
    <w:rPr>
      <w:rFonts w:ascii="Arial" w:hAnsi="Arial"/>
      <w:szCs w:val="24"/>
      <w:lang w:val="en-US" w:eastAsia="en-US"/>
    </w:rPr>
  </w:style>
  <w:style w:type="paragraph" w:styleId="Naslov1">
    <w:name w:val="heading 1"/>
    <w:aliases w:val="NASLOV"/>
    <w:basedOn w:val="Navaden"/>
    <w:next w:val="Navaden"/>
    <w:autoRedefine/>
    <w:qFormat/>
    <w:rsid w:val="003F0585"/>
    <w:pPr>
      <w:keepNext/>
      <w:spacing w:before="240" w:after="60"/>
      <w:outlineLvl w:val="0"/>
    </w:pPr>
    <w:rPr>
      <w:b/>
      <w:kern w:val="32"/>
      <w:sz w:val="28"/>
      <w:szCs w:val="32"/>
      <w:lang w:val="sl-SI"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rsid w:val="00AD2B87"/>
    <w:pPr>
      <w:tabs>
        <w:tab w:val="center" w:pos="4320"/>
        <w:tab w:val="right" w:pos="8640"/>
      </w:tabs>
    </w:pPr>
  </w:style>
  <w:style w:type="paragraph" w:styleId="Noga">
    <w:name w:val="footer"/>
    <w:basedOn w:val="Navaden"/>
    <w:semiHidden/>
    <w:rsid w:val="00AD2B87"/>
    <w:pPr>
      <w:tabs>
        <w:tab w:val="center" w:pos="4320"/>
        <w:tab w:val="right" w:pos="8640"/>
      </w:tabs>
    </w:pPr>
  </w:style>
  <w:style w:type="paragraph" w:styleId="Zgradbadokumenta">
    <w:name w:val="Document Map"/>
    <w:basedOn w:val="Navaden"/>
    <w:link w:val="ZgradbadokumentaZnak"/>
    <w:rsid w:val="00B31575"/>
    <w:rPr>
      <w:rFonts w:ascii="Tahoma" w:hAnsi="Tahoma" w:cs="Tahoma"/>
      <w:sz w:val="16"/>
      <w:szCs w:val="16"/>
    </w:rPr>
  </w:style>
  <w:style w:type="character" w:customStyle="1" w:styleId="ZgradbadokumentaZnak">
    <w:name w:val="Zgradba dokumenta Znak"/>
    <w:basedOn w:val="Privzetapisavaodstavka"/>
    <w:link w:val="Zgradbadokumenta"/>
    <w:rsid w:val="00B31575"/>
    <w:rPr>
      <w:rFonts w:ascii="Tahoma" w:hAnsi="Tahoma" w:cs="Tahoma"/>
      <w:sz w:val="16"/>
      <w:szCs w:val="16"/>
      <w:lang w:val="en-US" w:eastAsia="en-US"/>
    </w:rPr>
  </w:style>
  <w:style w:type="table" w:styleId="Tabela-mrea">
    <w:name w:val="Table Grid"/>
    <w:basedOn w:val="Navadnatabela"/>
    <w:rsid w:val="0073301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atumtevilka">
    <w:name w:val="datum številka"/>
    <w:basedOn w:val="Navaden"/>
    <w:qFormat/>
    <w:rsid w:val="00DC6A71"/>
    <w:pPr>
      <w:tabs>
        <w:tab w:val="left" w:pos="1701"/>
      </w:tabs>
    </w:pPr>
    <w:rPr>
      <w:szCs w:val="20"/>
      <w:lang w:val="sl-SI" w:eastAsia="sl-SI"/>
    </w:rPr>
  </w:style>
  <w:style w:type="paragraph" w:customStyle="1" w:styleId="ZADEVA">
    <w:name w:val="ZADEVA"/>
    <w:basedOn w:val="Navaden"/>
    <w:qFormat/>
    <w:rsid w:val="00DC6A71"/>
    <w:pPr>
      <w:tabs>
        <w:tab w:val="left" w:pos="1701"/>
      </w:tabs>
      <w:ind w:left="1701" w:hanging="1701"/>
    </w:pPr>
    <w:rPr>
      <w:b/>
      <w:lang w:val="it-IT"/>
    </w:rPr>
  </w:style>
  <w:style w:type="character" w:styleId="Hiperpovezava">
    <w:name w:val="Hyperlink"/>
    <w:basedOn w:val="Privzetapisavaodstavka"/>
    <w:rsid w:val="00783310"/>
    <w:rPr>
      <w:color w:val="0000FF"/>
      <w:u w:val="single"/>
    </w:rPr>
  </w:style>
  <w:style w:type="paragraph" w:customStyle="1" w:styleId="podpisi">
    <w:name w:val="podpisi"/>
    <w:basedOn w:val="Navaden"/>
    <w:qFormat/>
    <w:rsid w:val="003E1C74"/>
    <w:pPr>
      <w:tabs>
        <w:tab w:val="left" w:pos="3402"/>
      </w:tabs>
    </w:pPr>
    <w:rPr>
      <w:lang w:val="it-IT"/>
    </w:rPr>
  </w:style>
  <w:style w:type="paragraph" w:styleId="Brezrazmikov">
    <w:name w:val="No Spacing"/>
    <w:uiPriority w:val="1"/>
    <w:qFormat/>
    <w:rsid w:val="005A4AB5"/>
    <w:rPr>
      <w:rFonts w:asciiTheme="minorHAnsi" w:eastAsiaTheme="minorHAnsi" w:hAnsiTheme="minorHAnsi" w:cstheme="minorBidi"/>
      <w:sz w:val="22"/>
      <w:szCs w:val="22"/>
      <w:lang w:eastAsia="en-US"/>
    </w:rPr>
  </w:style>
  <w:style w:type="paragraph" w:styleId="Navadensplet">
    <w:name w:val="Normal (Web)"/>
    <w:basedOn w:val="Navaden"/>
    <w:uiPriority w:val="99"/>
    <w:unhideWhenUsed/>
    <w:rsid w:val="005A4AB5"/>
    <w:pPr>
      <w:spacing w:line="240" w:lineRule="auto"/>
    </w:pPr>
    <w:rPr>
      <w:rFonts w:ascii="Times New Roman" w:hAnsi="Times New Roman"/>
      <w:sz w:val="24"/>
      <w:lang w:val="sl-SI" w:eastAsia="sl-SI"/>
    </w:rPr>
  </w:style>
  <w:style w:type="character" w:styleId="Krepko">
    <w:name w:val="Strong"/>
    <w:basedOn w:val="Privzetapisavaodstavka"/>
    <w:uiPriority w:val="22"/>
    <w:qFormat/>
    <w:rsid w:val="005A4AB5"/>
    <w:rPr>
      <w:b/>
      <w:bCs/>
    </w:rPr>
  </w:style>
  <w:style w:type="paragraph" w:styleId="Besedilooblaka">
    <w:name w:val="Balloon Text"/>
    <w:basedOn w:val="Navaden"/>
    <w:link w:val="BesedilooblakaZnak"/>
    <w:rsid w:val="005A4AB5"/>
    <w:pPr>
      <w:spacing w:line="240" w:lineRule="auto"/>
    </w:pPr>
    <w:rPr>
      <w:rFonts w:ascii="Tahoma" w:hAnsi="Tahoma" w:cs="Tahoma"/>
      <w:sz w:val="16"/>
      <w:szCs w:val="16"/>
    </w:rPr>
  </w:style>
  <w:style w:type="character" w:customStyle="1" w:styleId="BesedilooblakaZnak">
    <w:name w:val="Besedilo oblačka Znak"/>
    <w:basedOn w:val="Privzetapisavaodstavka"/>
    <w:link w:val="Besedilooblaka"/>
    <w:rsid w:val="005A4AB5"/>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mmele\Application%20Data\Microsoft\Predloge\AUKNRS_SI_DOPIS_template.dotx"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Documents%20and%20Settings\skalacun\My%20Documents\AUKNRS%202011\Gradiva%20za%20upravo\Posojila%20in%20depoziti%20skupaj%20ter%20CAGR%20za%20finan&#269;ni%20sistem%20v%20Sloveniji%202003-201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sl-SI"/>
  <c:style val="28"/>
  <c:chart>
    <c:title>
      <c:tx>
        <c:rich>
          <a:bodyPr/>
          <a:lstStyle/>
          <a:p>
            <a:pPr>
              <a:defRPr/>
            </a:pPr>
            <a:r>
              <a:rPr lang="sl-SI" sz="1400"/>
              <a:t>Posojila nebančnemu sektorju (EUR mrd.)</a:t>
            </a:r>
          </a:p>
        </c:rich>
      </c:tx>
    </c:title>
    <c:plotArea>
      <c:layout>
        <c:manualLayout>
          <c:layoutTarget val="inner"/>
          <c:xMode val="edge"/>
          <c:yMode val="edge"/>
          <c:x val="9.5367502853964822E-2"/>
          <c:y val="0.1532524059492564"/>
          <c:w val="0.88372781469230965"/>
          <c:h val="0.71356846019247588"/>
        </c:manualLayout>
      </c:layout>
      <c:barChart>
        <c:barDir val="col"/>
        <c:grouping val="clustered"/>
        <c:ser>
          <c:idx val="0"/>
          <c:order val="0"/>
          <c:tx>
            <c:strRef>
              <c:f>List1!$B$21</c:f>
              <c:strCache>
                <c:ptCount val="1"/>
                <c:pt idx="0">
                  <c:v>Corporate and retail loans (EUR billions)</c:v>
                </c:pt>
              </c:strCache>
            </c:strRef>
          </c:tx>
          <c:dLbls>
            <c:txPr>
              <a:bodyPr/>
              <a:lstStyle/>
              <a:p>
                <a:pPr>
                  <a:defRPr sz="1200" b="1"/>
                </a:pPr>
                <a:endParaRPr lang="sl-SI"/>
              </a:p>
            </c:txPr>
            <c:showVal val="1"/>
          </c:dLbls>
          <c:cat>
            <c:numRef>
              <c:f>List1!$A$22:$A$26</c:f>
              <c:numCache>
                <c:formatCode>General</c:formatCode>
                <c:ptCount val="5"/>
                <c:pt idx="0">
                  <c:v>2004</c:v>
                </c:pt>
                <c:pt idx="1">
                  <c:v>2005</c:v>
                </c:pt>
                <c:pt idx="2">
                  <c:v>2006</c:v>
                </c:pt>
                <c:pt idx="3">
                  <c:v>2007</c:v>
                </c:pt>
                <c:pt idx="4">
                  <c:v>2008</c:v>
                </c:pt>
              </c:numCache>
            </c:numRef>
          </c:cat>
          <c:val>
            <c:numRef>
              <c:f>List1!$B$22:$B$26</c:f>
              <c:numCache>
                <c:formatCode>General</c:formatCode>
                <c:ptCount val="5"/>
                <c:pt idx="0">
                  <c:v>12.8</c:v>
                </c:pt>
                <c:pt idx="1">
                  <c:v>16.100000000000001</c:v>
                </c:pt>
                <c:pt idx="2">
                  <c:v>20.399999999999999</c:v>
                </c:pt>
                <c:pt idx="3">
                  <c:v>28.3</c:v>
                </c:pt>
                <c:pt idx="4">
                  <c:v>33.5</c:v>
                </c:pt>
              </c:numCache>
            </c:numRef>
          </c:val>
        </c:ser>
        <c:axId val="68609536"/>
        <c:axId val="80855424"/>
      </c:barChart>
      <c:catAx>
        <c:axId val="68609536"/>
        <c:scaling>
          <c:orientation val="minMax"/>
        </c:scaling>
        <c:axPos val="b"/>
        <c:numFmt formatCode="General" sourceLinked="1"/>
        <c:tickLblPos val="nextTo"/>
        <c:txPr>
          <a:bodyPr/>
          <a:lstStyle/>
          <a:p>
            <a:pPr>
              <a:defRPr sz="1200" b="1"/>
            </a:pPr>
            <a:endParaRPr lang="sl-SI"/>
          </a:p>
        </c:txPr>
        <c:crossAx val="80855424"/>
        <c:crosses val="autoZero"/>
        <c:auto val="1"/>
        <c:lblAlgn val="ctr"/>
        <c:lblOffset val="100"/>
      </c:catAx>
      <c:valAx>
        <c:axId val="80855424"/>
        <c:scaling>
          <c:orientation val="minMax"/>
          <c:max val="40"/>
          <c:min val="0"/>
        </c:scaling>
        <c:axPos val="l"/>
        <c:numFmt formatCode="#,##0.0" sourceLinked="0"/>
        <c:tickLblPos val="nextTo"/>
        <c:crossAx val="68609536"/>
        <c:crosses val="autoZero"/>
        <c:crossBetween val="between"/>
      </c:valAx>
    </c:plotArea>
    <c:plotVisOnly val="1"/>
  </c:chart>
  <c:externalData r:id="rId1"/>
  <c:userShapes r:id="rId2"/>
</c:chartSpace>
</file>

<file path=word/drawings/drawing1.xml><?xml version="1.0" encoding="utf-8"?>
<c:userShapes xmlns:c="http://schemas.openxmlformats.org/drawingml/2006/chart">
  <cdr:relSizeAnchor xmlns:cdr="http://schemas.openxmlformats.org/drawingml/2006/chartDrawing">
    <cdr:from>
      <cdr:x>0.21004</cdr:x>
      <cdr:y>0.19792</cdr:y>
    </cdr:from>
    <cdr:to>
      <cdr:x>0.80021</cdr:x>
      <cdr:y>0.43416</cdr:y>
    </cdr:to>
    <cdr:cxnSp macro="">
      <cdr:nvCxnSpPr>
        <cdr:cNvPr id="5" name="Raven puščični konektor 4"/>
        <cdr:cNvCxnSpPr/>
      </cdr:nvCxnSpPr>
      <cdr:spPr>
        <a:xfrm xmlns:a="http://schemas.openxmlformats.org/drawingml/2006/main" flipV="1">
          <a:off x="1076325" y="542925"/>
          <a:ext cx="3024336" cy="648072"/>
        </a:xfrm>
        <a:prstGeom xmlns:a="http://schemas.openxmlformats.org/drawingml/2006/main" prst="straightConnector1">
          <a:avLst/>
        </a:prstGeom>
        <a:noFill xmlns:a="http://schemas.openxmlformats.org/drawingml/2006/main"/>
        <a:ln xmlns:a="http://schemas.openxmlformats.org/drawingml/2006/main" w="9525" cap="flat" cmpd="sng" algn="ctr">
          <a:solidFill>
            <a:sysClr val="windowText" lastClr="000000">
              <a:shade val="95000"/>
              <a:satMod val="105000"/>
            </a:sysClr>
          </a:solidFill>
          <a:prstDash val="solid"/>
          <a:tailEnd type="arrow"/>
        </a:ln>
        <a:effectLst xmlns:a="http://schemas.openxmlformats.org/drawingml/2006/main"/>
      </cdr:spPr>
      <cdr:style>
        <a:lnRef xmlns:a="http://schemas.openxmlformats.org/drawingml/2006/main" idx="1">
          <a:schemeClr val="dk1"/>
        </a:lnRef>
        <a:fillRef xmlns:a="http://schemas.openxmlformats.org/drawingml/2006/main" idx="0">
          <a:schemeClr val="dk1"/>
        </a:fillRef>
        <a:effectRef xmlns:a="http://schemas.openxmlformats.org/drawingml/2006/main" idx="0">
          <a:schemeClr val="dk1"/>
        </a:effectRef>
        <a:fontRef xmlns:a="http://schemas.openxmlformats.org/drawingml/2006/main" idx="minor">
          <a:schemeClr val="tx1"/>
        </a:fontRef>
      </cdr:style>
    </cdr:cxnSp>
  </cdr:relSizeAnchor>
  <cdr:relSizeAnchor xmlns:cdr="http://schemas.openxmlformats.org/drawingml/2006/chartDrawing">
    <cdr:from>
      <cdr:x>0.38848</cdr:x>
      <cdr:y>0.22222</cdr:y>
    </cdr:from>
    <cdr:to>
      <cdr:x>0.62736</cdr:x>
      <cdr:y>0.36806</cdr:y>
    </cdr:to>
    <cdr:sp macro="" textlink="">
      <cdr:nvSpPr>
        <cdr:cNvPr id="4" name="Elipsa 3"/>
        <cdr:cNvSpPr/>
      </cdr:nvSpPr>
      <cdr:spPr>
        <a:xfrm xmlns:a="http://schemas.openxmlformats.org/drawingml/2006/main">
          <a:off x="1990725" y="609599"/>
          <a:ext cx="1224136" cy="400051"/>
        </a:xfrm>
        <a:prstGeom xmlns:a="http://schemas.openxmlformats.org/drawingml/2006/main" prst="ellipse">
          <a:avLst/>
        </a:prstGeom>
        <a:gradFill xmlns:a="http://schemas.openxmlformats.org/drawingml/2006/main"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xmlns:a="http://schemas.openxmlformats.org/drawingml/2006/main" w="9525" cap="flat" cmpd="sng" algn="ctr">
          <a:solidFill>
            <a:sysClr val="windowText" lastClr="000000">
              <a:shade val="95000"/>
              <a:satMod val="105000"/>
            </a:sysClr>
          </a:solidFill>
          <a:prstDash val="solid"/>
        </a:ln>
        <a:effectLst xmlns:a="http://schemas.openxmlformats.org/drawingml/2006/main">
          <a:outerShdw blurRad="40000" dist="20000" dir="5400000" rotWithShape="0">
            <a:srgbClr val="000000">
              <a:alpha val="38000"/>
            </a:srgbClr>
          </a:outerShdw>
        </a:effectLst>
      </cdr:spPr>
      <cdr:style>
        <a:lnRef xmlns:a="http://schemas.openxmlformats.org/drawingml/2006/main" idx="1">
          <a:schemeClr val="dk1"/>
        </a:lnRef>
        <a:fillRef xmlns:a="http://schemas.openxmlformats.org/drawingml/2006/main" idx="2">
          <a:schemeClr val="dk1"/>
        </a:fillRef>
        <a:effectRef xmlns:a="http://schemas.openxmlformats.org/drawingml/2006/main" idx="1">
          <a:schemeClr val="dk1"/>
        </a:effectRef>
        <a:fontRef xmlns:a="http://schemas.openxmlformats.org/drawingml/2006/main" idx="minor">
          <a:schemeClr val="dk1"/>
        </a:fontRef>
      </cdr:style>
      <cdr:txBody>
        <a:bodyPr xmlns:a="http://schemas.openxmlformats.org/drawingml/2006/main" rtlCol="0" anchor="ctr"/>
        <a:lstStyle xmlns:a="http://schemas.openxmlformats.org/drawingml/2006/main">
          <a:lvl1pPr marL="0" indent="0">
            <a:defRPr sz="1100">
              <a:solidFill>
                <a:sysClr val="windowText" lastClr="000000"/>
              </a:solidFill>
              <a:latin typeface="Calibri"/>
            </a:defRPr>
          </a:lvl1pPr>
          <a:lvl2pPr marL="457200" indent="0">
            <a:defRPr sz="1100">
              <a:solidFill>
                <a:sysClr val="windowText" lastClr="000000"/>
              </a:solidFill>
              <a:latin typeface="Calibri"/>
            </a:defRPr>
          </a:lvl2pPr>
          <a:lvl3pPr marL="914400" indent="0">
            <a:defRPr sz="1100">
              <a:solidFill>
                <a:sysClr val="windowText" lastClr="000000"/>
              </a:solidFill>
              <a:latin typeface="Calibri"/>
            </a:defRPr>
          </a:lvl3pPr>
          <a:lvl4pPr marL="1371600" indent="0">
            <a:defRPr sz="1100">
              <a:solidFill>
                <a:sysClr val="windowText" lastClr="000000"/>
              </a:solidFill>
              <a:latin typeface="Calibri"/>
            </a:defRPr>
          </a:lvl4pPr>
          <a:lvl5pPr marL="1828800" indent="0">
            <a:defRPr sz="1100">
              <a:solidFill>
                <a:sysClr val="windowText" lastClr="000000"/>
              </a:solidFill>
              <a:latin typeface="Calibri"/>
            </a:defRPr>
          </a:lvl5pPr>
          <a:lvl6pPr marL="2286000" indent="0">
            <a:defRPr sz="1100">
              <a:solidFill>
                <a:sysClr val="windowText" lastClr="000000"/>
              </a:solidFill>
              <a:latin typeface="Calibri"/>
            </a:defRPr>
          </a:lvl6pPr>
          <a:lvl7pPr marL="2743200" indent="0">
            <a:defRPr sz="1100">
              <a:solidFill>
                <a:sysClr val="windowText" lastClr="000000"/>
              </a:solidFill>
              <a:latin typeface="Calibri"/>
            </a:defRPr>
          </a:lvl7pPr>
          <a:lvl8pPr marL="3200400" indent="0">
            <a:defRPr sz="1100">
              <a:solidFill>
                <a:sysClr val="windowText" lastClr="000000"/>
              </a:solidFill>
              <a:latin typeface="Calibri"/>
            </a:defRPr>
          </a:lvl8pPr>
          <a:lvl9pPr marL="3657600" indent="0">
            <a:defRPr sz="1100">
              <a:solidFill>
                <a:sysClr val="windowText" lastClr="000000"/>
              </a:solidFill>
              <a:latin typeface="Calibri"/>
            </a:defRPr>
          </a:lvl9pPr>
        </a:lstStyle>
        <a:p xmlns:a="http://schemas.openxmlformats.org/drawingml/2006/main">
          <a:pPr algn="ctr"/>
          <a:r>
            <a:rPr lang="sl-SI" sz="1100" dirty="0" smtClean="0"/>
            <a:t>CAGR +27%</a:t>
          </a:r>
          <a:endParaRPr lang="sl-SI" sz="1100" dirty="0"/>
        </a:p>
      </cdr:txBody>
    </cdr:sp>
  </cdr:relSizeAnchor>
  <cdr:relSizeAnchor xmlns:cdr="http://schemas.openxmlformats.org/drawingml/2006/chartDrawing">
    <cdr:from>
      <cdr:x>0.23606</cdr:x>
      <cdr:y>0.01042</cdr:y>
    </cdr:from>
    <cdr:to>
      <cdr:x>0.69145</cdr:x>
      <cdr:y>0.12847</cdr:y>
    </cdr:to>
    <cdr:sp macro="" textlink="">
      <cdr:nvSpPr>
        <cdr:cNvPr id="6" name="PoljeZBesedilom 5"/>
        <cdr:cNvSpPr txBox="1"/>
      </cdr:nvSpPr>
      <cdr:spPr>
        <a:xfrm xmlns:a="http://schemas.openxmlformats.org/drawingml/2006/main">
          <a:off x="1209675" y="28576"/>
          <a:ext cx="2333625" cy="3238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sl-SI"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AUKNRS_SI_DOPIS_template</Template>
  <TotalTime>13</TotalTime>
  <Pages>2</Pages>
  <Words>484</Words>
  <Characters>2761</Characters>
  <Application>Microsoft Office Word</Application>
  <DocSecurity>0</DocSecurity>
  <Lines>23</Lines>
  <Paragraphs>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Številka:</vt:lpstr>
      <vt:lpstr>Številka:</vt:lpstr>
    </vt:vector>
  </TitlesOfParts>
  <Company>Indea d.o.o.</Company>
  <LinksUpToDate>false</LinksUpToDate>
  <CharactersWithSpaces>3239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Številka:</dc:title>
  <dc:creator>mmele</dc:creator>
  <cp:lastModifiedBy>mmele</cp:lastModifiedBy>
  <cp:revision>6</cp:revision>
  <cp:lastPrinted>2010-07-16T07:41:00Z</cp:lastPrinted>
  <dcterms:created xsi:type="dcterms:W3CDTF">2012-07-13T12:02:00Z</dcterms:created>
  <dcterms:modified xsi:type="dcterms:W3CDTF">2012-07-13T12:21:00Z</dcterms:modified>
</cp:coreProperties>
</file>